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6" w:rsidRDefault="00B80B1B" w:rsidP="00B80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SITUA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ȚIE COMPARATIVĂ </w:t>
      </w:r>
    </w:p>
    <w:p w:rsidR="00A33D66" w:rsidRDefault="00B80B1B" w:rsidP="00B80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REZULTATELOR OBȚINUTE LA CONCURSURILE ȘCOLARE ȘI EXTRAȘCOLARE </w:t>
      </w:r>
    </w:p>
    <w:p w:rsidR="00E6011D" w:rsidRDefault="00B80B1B" w:rsidP="00B80B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2014 – 2018 </w:t>
      </w:r>
    </w:p>
    <w:p w:rsidR="00B71D04" w:rsidRDefault="00B71D04" w:rsidP="00B80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B1B" w:rsidRDefault="00B80B1B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733C" w:rsidRDefault="00E8733C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1D04" w:rsidRPr="00863E08" w:rsidRDefault="00E678E6" w:rsidP="00E678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ro-RO"/>
        </w:rPr>
      </w:pPr>
      <w:r w:rsidRPr="00863E08">
        <w:rPr>
          <w:rFonts w:ascii="Times New Roman" w:hAnsi="Times New Roman" w:cs="Times New Roman"/>
          <w:color w:val="002060"/>
          <w:sz w:val="24"/>
          <w:szCs w:val="24"/>
          <w:u w:val="single"/>
          <w:lang w:val="ro-RO"/>
        </w:rPr>
        <w:t xml:space="preserve">ANUL ȘCOLAR 2014 – 2015 – </w:t>
      </w:r>
      <w:r w:rsidRPr="00863E08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ro-RO"/>
        </w:rPr>
        <w:t>159 PREMII, DIN CARE:</w:t>
      </w:r>
    </w:p>
    <w:p w:rsidR="00E678E6" w:rsidRDefault="00E678E6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95A1F" w:rsidRDefault="00B71D04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71D04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A33D66"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ivel – local – </w:t>
      </w:r>
      <w:r w:rsidRPr="00B71D04">
        <w:rPr>
          <w:rFonts w:ascii="Times New Roman" w:hAnsi="Times New Roman" w:cs="Times New Roman"/>
          <w:sz w:val="24"/>
          <w:szCs w:val="24"/>
          <w:lang w:val="ro-RO"/>
        </w:rPr>
        <w:t>116</w:t>
      </w:r>
      <w:r w:rsidR="00A33D66"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695A1F" w:rsidRP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A33D66" w:rsidRPr="00695A1F">
        <w:rPr>
          <w:rFonts w:ascii="Times New Roman" w:hAnsi="Times New Roman" w:cs="Times New Roman"/>
          <w:sz w:val="24"/>
          <w:szCs w:val="24"/>
          <w:lang w:val="ro-RO"/>
        </w:rPr>
        <w:t>județean –</w:t>
      </w:r>
      <w:r w:rsidR="00B71D04" w:rsidRPr="00695A1F">
        <w:rPr>
          <w:rFonts w:ascii="Times New Roman" w:hAnsi="Times New Roman" w:cs="Times New Roman"/>
          <w:sz w:val="24"/>
          <w:szCs w:val="24"/>
          <w:lang w:val="ro-RO"/>
        </w:rPr>
        <w:t xml:space="preserve"> 11</w:t>
      </w:r>
      <w:r w:rsidR="00A33D66" w:rsidRPr="00695A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1D04" w:rsidRPr="00695A1F">
        <w:rPr>
          <w:rFonts w:ascii="Times New Roman" w:hAnsi="Times New Roman" w:cs="Times New Roman"/>
          <w:sz w:val="24"/>
          <w:szCs w:val="24"/>
          <w:lang w:val="ro-RO"/>
        </w:rPr>
        <w:t>premii</w:t>
      </w:r>
    </w:p>
    <w:p w:rsid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A33D66" w:rsidRPr="00695A1F">
        <w:rPr>
          <w:rFonts w:ascii="Times New Roman" w:hAnsi="Times New Roman" w:cs="Times New Roman"/>
          <w:sz w:val="24"/>
          <w:szCs w:val="24"/>
          <w:lang w:val="ro-RO"/>
        </w:rPr>
        <w:t>interjudețean</w:t>
      </w:r>
      <w:r w:rsidR="00A33D66">
        <w:rPr>
          <w:rFonts w:ascii="Times New Roman" w:hAnsi="Times New Roman" w:cs="Times New Roman"/>
          <w:sz w:val="24"/>
          <w:szCs w:val="24"/>
          <w:lang w:val="ro-RO"/>
        </w:rPr>
        <w:t>/regional – 20 premii</w:t>
      </w:r>
      <w:r w:rsidR="00B71D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33D66" w:rsidRP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A33D66" w:rsidRPr="00695A1F">
        <w:rPr>
          <w:rFonts w:ascii="Times New Roman" w:hAnsi="Times New Roman" w:cs="Times New Roman"/>
          <w:sz w:val="24"/>
          <w:szCs w:val="24"/>
          <w:lang w:val="ro-RO"/>
        </w:rPr>
        <w:t>național</w:t>
      </w:r>
      <w:r w:rsidR="00A33D66">
        <w:rPr>
          <w:rFonts w:ascii="Times New Roman" w:hAnsi="Times New Roman" w:cs="Times New Roman"/>
          <w:sz w:val="24"/>
          <w:szCs w:val="24"/>
          <w:lang w:val="ro-RO"/>
        </w:rPr>
        <w:t xml:space="preserve"> – 12 peremii </w:t>
      </w:r>
    </w:p>
    <w:p w:rsidR="00A33D66" w:rsidRDefault="00A33D66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1D04" w:rsidRDefault="00B71D04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1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Observații: </w:t>
      </w:r>
    </w:p>
    <w:p w:rsidR="00B71D04" w:rsidRDefault="00B71D04" w:rsidP="00E678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În acest an școlar au fost interzise concursurile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carepresupuneau implicare financiară din partea părinților. Acest fapt a dus la dispariția multora dintre ele. </w:t>
      </w:r>
    </w:p>
    <w:p w:rsidR="00A33D66" w:rsidRPr="00040E53" w:rsidRDefault="00A33D66" w:rsidP="00E678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71D04">
        <w:rPr>
          <w:rFonts w:ascii="Times New Roman" w:hAnsi="Times New Roman" w:cs="Times New Roman"/>
          <w:sz w:val="24"/>
          <w:szCs w:val="24"/>
        </w:rPr>
        <w:t>Inexistența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concursurilor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r w:rsidR="00B71D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71D04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scăderea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04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="00B71D04">
        <w:rPr>
          <w:rFonts w:ascii="Times New Roman" w:hAnsi="Times New Roman" w:cs="Times New Roman"/>
          <w:sz w:val="24"/>
          <w:szCs w:val="24"/>
        </w:rPr>
        <w:t>.</w:t>
      </w:r>
    </w:p>
    <w:p w:rsidR="00040E53" w:rsidRPr="00B71D04" w:rsidRDefault="00040E53" w:rsidP="00E678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podium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</w:t>
      </w:r>
      <w:r w:rsidR="00091F54">
        <w:rPr>
          <w:rFonts w:ascii="Times New Roman" w:hAnsi="Times New Roman" w:cs="Times New Roman"/>
          <w:sz w:val="24"/>
          <w:szCs w:val="24"/>
        </w:rPr>
        <w:t xml:space="preserve"> (VII A)</w:t>
      </w:r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lb.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Lumina Math,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</w:p>
    <w:p w:rsidR="00695A1F" w:rsidRPr="00695A1F" w:rsidRDefault="00B71D04" w:rsidP="00E678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representative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r w:rsidR="00695A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>:</w:t>
      </w:r>
    </w:p>
    <w:p w:rsidR="00695A1F" w:rsidRPr="00695A1F" w:rsidRDefault="00A05C33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3C">
        <w:rPr>
          <w:rFonts w:ascii="Times New Roman" w:hAnsi="Times New Roman" w:cs="Times New Roman"/>
          <w:sz w:val="24"/>
          <w:szCs w:val="24"/>
        </w:rPr>
        <w:t xml:space="preserve">mea,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3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Iubesc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Clujul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premiu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800 lei</w:t>
      </w:r>
    </w:p>
    <w:p w:rsidR="00695A1F" w:rsidRPr="007548A9" w:rsidRDefault="00B71D04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lingvistice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Cangurul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lingvist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>,</w:t>
      </w:r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eng</w:t>
      </w:r>
      <w:r w:rsidR="00695A1F">
        <w:rPr>
          <w:rFonts w:ascii="Times New Roman" w:hAnsi="Times New Roman" w:cs="Times New Roman"/>
          <w:sz w:val="24"/>
          <w:szCs w:val="24"/>
        </w:rPr>
        <w:t>leză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48A9" w:rsidRPr="00695A1F" w:rsidRDefault="007548A9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Luminamath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concurs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</w:p>
    <w:p w:rsidR="00A05C33" w:rsidRPr="00A05C33" w:rsidRDefault="00A05C33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sportive (</w:t>
      </w:r>
      <w:proofErr w:type="spellStart"/>
      <w:r>
        <w:rPr>
          <w:rFonts w:ascii="Times New Roman" w:hAnsi="Times New Roman" w:cs="Times New Roman"/>
          <w:sz w:val="24"/>
          <w:szCs w:val="24"/>
        </w:rPr>
        <w:t>fotbal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Special Olympics,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Vlădeasa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D04">
        <w:rPr>
          <w:rFonts w:ascii="Times New Roman" w:hAnsi="Times New Roman" w:cs="Times New Roman"/>
          <w:sz w:val="24"/>
          <w:szCs w:val="24"/>
        </w:rPr>
        <w:t>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Polihroniade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1D04" w:rsidRPr="00A05C33" w:rsidRDefault="00B71D04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festivalurile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folk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șc</w:t>
      </w:r>
      <w:r w:rsidR="00695A1F">
        <w:rPr>
          <w:rFonts w:ascii="Times New Roman" w:hAnsi="Times New Roman" w:cs="Times New Roman"/>
          <w:sz w:val="24"/>
          <w:szCs w:val="24"/>
        </w:rPr>
        <w:t>oala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aripi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fragede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folk”</w:t>
      </w:r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95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1F">
        <w:rPr>
          <w:rFonts w:ascii="Times New Roman" w:hAnsi="Times New Roman" w:cs="Times New Roman"/>
          <w:sz w:val="24"/>
          <w:szCs w:val="24"/>
        </w:rPr>
        <w:t>județe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– Seri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melancolice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Ipotești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5C33" w:rsidRPr="00A05C33" w:rsidRDefault="00E8733C" w:rsidP="00E678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dansuri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populare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tradiții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A0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C33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A05C33" w:rsidRDefault="00A05C33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E08" w:rsidRPr="00863E08" w:rsidRDefault="00863E08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C00000"/>
          <w:sz w:val="24"/>
          <w:szCs w:val="24"/>
          <w:lang w:val="ro-RO"/>
        </w:rPr>
      </w:pPr>
    </w:p>
    <w:p w:rsidR="00B71D04" w:rsidRPr="00863E08" w:rsidRDefault="00E678E6" w:rsidP="00E678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  <w:lang w:val="ro-RO"/>
        </w:rPr>
      </w:pPr>
      <w:r w:rsidRPr="00863E08">
        <w:rPr>
          <w:rFonts w:ascii="Times New Roman" w:hAnsi="Times New Roman" w:cs="Times New Roman"/>
          <w:color w:val="C00000"/>
          <w:sz w:val="24"/>
          <w:szCs w:val="24"/>
          <w:u w:val="single"/>
          <w:lang w:val="ro-RO"/>
        </w:rPr>
        <w:t xml:space="preserve">ANUL ȘCOLAR 2015 – 2016 – </w:t>
      </w:r>
      <w:r w:rsidRPr="00863E0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ro-RO"/>
        </w:rPr>
        <w:t>256 PREMII, DIN CARE:</w:t>
      </w:r>
    </w:p>
    <w:p w:rsidR="00E678E6" w:rsidRPr="00B71D04" w:rsidRDefault="00E678E6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695A1F" w:rsidRDefault="00695A1F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71D04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ivel – local – </w:t>
      </w:r>
      <w:r>
        <w:rPr>
          <w:rFonts w:ascii="Times New Roman" w:hAnsi="Times New Roman" w:cs="Times New Roman"/>
          <w:sz w:val="24"/>
          <w:szCs w:val="24"/>
          <w:lang w:val="ro-RO"/>
        </w:rPr>
        <w:t>41 premii</w:t>
      </w:r>
    </w:p>
    <w:p w:rsidR="00695A1F" w:rsidRP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județean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150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interjudețean</w:t>
      </w:r>
      <w:r>
        <w:rPr>
          <w:rFonts w:ascii="Times New Roman" w:hAnsi="Times New Roman" w:cs="Times New Roman"/>
          <w:sz w:val="24"/>
          <w:szCs w:val="24"/>
          <w:lang w:val="ro-RO"/>
        </w:rPr>
        <w:t>/regional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național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12 peremii </w:t>
      </w:r>
    </w:p>
    <w:p w:rsidR="00695A1F" w:rsidRDefault="00695A1F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internațional – 2 premii</w:t>
      </w:r>
    </w:p>
    <w:p w:rsidR="00695A1F" w:rsidRDefault="00695A1F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733C" w:rsidRDefault="00E8733C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0E53" w:rsidRDefault="00695A1F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>Observații:</w:t>
      </w:r>
    </w:p>
    <w:p w:rsidR="007548A9" w:rsidRPr="00431DE8" w:rsidRDefault="00040E53" w:rsidP="00E678E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0E53">
        <w:rPr>
          <w:rFonts w:ascii="Times New Roman" w:hAnsi="Times New Roman" w:cs="Times New Roman"/>
          <w:sz w:val="24"/>
          <w:szCs w:val="24"/>
          <w:lang w:val="ro-RO"/>
        </w:rPr>
        <w:t>Se face remarcat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48A9">
        <w:rPr>
          <w:rFonts w:ascii="Times New Roman" w:hAnsi="Times New Roman" w:cs="Times New Roman"/>
          <w:sz w:val="24"/>
          <w:szCs w:val="24"/>
          <w:lang w:val="ro-RO"/>
        </w:rPr>
        <w:t xml:space="preserve">din nou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elevul </w:t>
      </w:r>
      <w:r w:rsidR="007548A9">
        <w:rPr>
          <w:rFonts w:ascii="Times New Roman" w:hAnsi="Times New Roman" w:cs="Times New Roman"/>
          <w:sz w:val="24"/>
          <w:szCs w:val="24"/>
          <w:lang w:val="ro-RO"/>
        </w:rPr>
        <w:t>Suciu Antonio</w:t>
      </w:r>
      <w:r w:rsidR="00091F54">
        <w:rPr>
          <w:rFonts w:ascii="Times New Roman" w:hAnsi="Times New Roman" w:cs="Times New Roman"/>
          <w:sz w:val="24"/>
          <w:szCs w:val="24"/>
          <w:lang w:val="ro-RO"/>
        </w:rPr>
        <w:t xml:space="preserve"> (VIII A)</w:t>
      </w:r>
      <w:r w:rsidR="007548A9">
        <w:rPr>
          <w:rFonts w:ascii="Times New Roman" w:hAnsi="Times New Roman" w:cs="Times New Roman"/>
          <w:sz w:val="24"/>
          <w:szCs w:val="24"/>
          <w:lang w:val="ro-RO"/>
        </w:rPr>
        <w:t xml:space="preserve">, din nou pe podium la mai multe concursuri județene și naționale: 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 xml:space="preserve">Concurs Național interdisciplinar de Lb. și lit. Română și religie – 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locul I la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faza județeană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 xml:space="preserve">, Premiul Special la faza națională, 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Concurs tehnico-științific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Fii o săptămână profesor de Științe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Concursul Regional de consiliere școlară</w:t>
      </w:r>
      <w:r w:rsidR="007548A9">
        <w:rPr>
          <w:rFonts w:asciiTheme="majorBidi" w:hAnsiTheme="majorBidi" w:cstheme="majorBidi"/>
          <w:sz w:val="24"/>
          <w:szCs w:val="24"/>
          <w:lang w:val="ro-RO"/>
        </w:rPr>
        <w:t>, Concursul național LuminaMath</w:t>
      </w:r>
    </w:p>
    <w:p w:rsidR="00E8733C" w:rsidRPr="00040E53" w:rsidRDefault="00E8733C" w:rsidP="00E678E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representative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:</w:t>
      </w:r>
    </w:p>
    <w:p w:rsidR="00695A1F" w:rsidRPr="00E8733C" w:rsidRDefault="00431DE8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</w:t>
      </w:r>
      <w:r w:rsidR="00E8733C">
        <w:rPr>
          <w:rFonts w:ascii="Times New Roman" w:hAnsi="Times New Roman" w:cs="Times New Roman"/>
          <w:sz w:val="24"/>
          <w:szCs w:val="24"/>
          <w:lang w:val="ro-RO"/>
        </w:rPr>
        <w:t xml:space="preserve">oncursurilor ecologice -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mea,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>; „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Iubesc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Clujul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3C">
        <w:rPr>
          <w:rFonts w:ascii="Times New Roman" w:hAnsi="Times New Roman" w:cs="Times New Roman"/>
          <w:sz w:val="24"/>
          <w:szCs w:val="24"/>
        </w:rPr>
        <w:t>premiu</w:t>
      </w:r>
      <w:proofErr w:type="spellEnd"/>
      <w:r w:rsidR="00E8733C">
        <w:rPr>
          <w:rFonts w:ascii="Times New Roman" w:hAnsi="Times New Roman" w:cs="Times New Roman"/>
          <w:sz w:val="24"/>
          <w:szCs w:val="24"/>
        </w:rPr>
        <w:t xml:space="preserve"> </w:t>
      </w:r>
      <w:r w:rsidR="00E8733C">
        <w:rPr>
          <w:rFonts w:ascii="Times New Roman" w:hAnsi="Times New Roman" w:cs="Times New Roman"/>
          <w:sz w:val="24"/>
          <w:szCs w:val="24"/>
        </w:rPr>
        <w:t>1000</w:t>
      </w:r>
      <w:r w:rsidR="00E8733C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E8733C" w:rsidRDefault="00E8733C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33C">
        <w:rPr>
          <w:rFonts w:ascii="Times New Roman" w:hAnsi="Times New Roman" w:cs="Times New Roman"/>
          <w:sz w:val="24"/>
          <w:szCs w:val="24"/>
          <w:lang w:val="ro-RO"/>
        </w:rPr>
        <w:t>Concursuri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județene și interjudețene cu tematică religioasă – icoane pe sticlă, obiceiuri de iarnă, cultură și educație religioasă – „Icoana Sf. Andrei, prilej de întâlnire”</w:t>
      </w:r>
    </w:p>
    <w:p w:rsidR="00E8733C" w:rsidRDefault="00E8733C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Clasele primare participă la concursurile Minimath (interjudețean) – 40 premii și Comper, etapa județeană II (</w:t>
      </w:r>
      <w:r w:rsidR="006A7C89">
        <w:rPr>
          <w:rFonts w:ascii="Times New Roman" w:hAnsi="Times New Roman" w:cs="Times New Roman"/>
          <w:sz w:val="24"/>
          <w:szCs w:val="24"/>
          <w:lang w:val="ro-RO"/>
        </w:rPr>
        <w:t>Comunicare – 70 premii, Matematică – 59 premii)</w:t>
      </w:r>
    </w:p>
    <w:p w:rsidR="006A7C89" w:rsidRDefault="006A7C89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 „Made for Europe” – Erasmus+, locul I atât la etapa județeană cât și la etapa națională</w:t>
      </w:r>
      <w:r w:rsidR="00091F54">
        <w:rPr>
          <w:rFonts w:ascii="Times New Roman" w:hAnsi="Times New Roman" w:cs="Times New Roman"/>
          <w:sz w:val="24"/>
          <w:szCs w:val="24"/>
          <w:lang w:val="ro-RO"/>
        </w:rPr>
        <w:t xml:space="preserve"> – elevul Ionuț Irimiaș (VI B)</w:t>
      </w:r>
    </w:p>
    <w:p w:rsidR="006A7C89" w:rsidRDefault="006A7C89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 național „LuminaMath” – premii la nivel primar și gimnazial</w:t>
      </w:r>
    </w:p>
    <w:p w:rsidR="006A7C89" w:rsidRDefault="006A7C89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 internațional de minihandbal, fete, locul II</w:t>
      </w:r>
    </w:p>
    <w:p w:rsidR="006A7C89" w:rsidRDefault="006A7C89" w:rsidP="00E678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Festivalul internațional – Ziua Europei 2016 – Austria – diplomă de excelență pentru echipa de dansuri populare, „Jucăușii de pe Someș”</w:t>
      </w:r>
    </w:p>
    <w:p w:rsidR="006A7C89" w:rsidRPr="006A7C89" w:rsidRDefault="006A7C89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5A1F" w:rsidRDefault="00695A1F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3E08" w:rsidRDefault="00863E08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C89" w:rsidRPr="00863E08" w:rsidRDefault="00E678E6" w:rsidP="00E678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  <w:u w:val="single"/>
          <w:lang w:val="ro-RO"/>
        </w:rPr>
      </w:pPr>
      <w:r w:rsidRPr="00863E08">
        <w:rPr>
          <w:rFonts w:ascii="Times New Roman" w:hAnsi="Times New Roman" w:cs="Times New Roman"/>
          <w:color w:val="006600"/>
          <w:sz w:val="24"/>
          <w:szCs w:val="24"/>
          <w:u w:val="single"/>
          <w:lang w:val="ro-RO"/>
        </w:rPr>
        <w:t xml:space="preserve">ANUL ȘCOLAR 2016 – 2017 – </w:t>
      </w:r>
      <w:r w:rsidRPr="00863E08">
        <w:rPr>
          <w:rFonts w:ascii="Times New Roman" w:hAnsi="Times New Roman" w:cs="Times New Roman"/>
          <w:b/>
          <w:color w:val="006600"/>
          <w:sz w:val="24"/>
          <w:szCs w:val="24"/>
          <w:u w:val="single"/>
          <w:lang w:val="ro-RO"/>
        </w:rPr>
        <w:t>660 PREMII, DIN CARE:</w:t>
      </w:r>
    </w:p>
    <w:p w:rsidR="00E678E6" w:rsidRPr="00B71D04" w:rsidRDefault="00E678E6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6A7C89" w:rsidRDefault="006A7C89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71D04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ivel – local – </w:t>
      </w:r>
      <w:r>
        <w:rPr>
          <w:rFonts w:ascii="Times New Roman" w:hAnsi="Times New Roman" w:cs="Times New Roman"/>
          <w:sz w:val="24"/>
          <w:szCs w:val="24"/>
          <w:lang w:val="ro-RO"/>
        </w:rPr>
        <w:t>86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6A7C89" w:rsidRPr="00695A1F" w:rsidRDefault="006A7C89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județean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465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6A7C89" w:rsidRDefault="006A7C89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interjudețean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/regional – </w:t>
      </w:r>
      <w:r w:rsidR="00040E53">
        <w:rPr>
          <w:rFonts w:ascii="Times New Roman" w:hAnsi="Times New Roman" w:cs="Times New Roman"/>
          <w:sz w:val="24"/>
          <w:szCs w:val="24"/>
          <w:lang w:val="ro-RO"/>
        </w:rPr>
        <w:t>87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A7C89" w:rsidRDefault="006A7C89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național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40E53">
        <w:rPr>
          <w:rFonts w:ascii="Times New Roman" w:hAnsi="Times New Roman" w:cs="Times New Roman"/>
          <w:sz w:val="24"/>
          <w:szCs w:val="24"/>
          <w:lang w:val="ro-RO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peremii </w:t>
      </w:r>
    </w:p>
    <w:p w:rsidR="006A7C89" w:rsidRDefault="006A7C89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internațional –</w:t>
      </w:r>
      <w:r w:rsidR="00040E53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695A1F" w:rsidRPr="006A7C89" w:rsidRDefault="00695A1F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431DE8" w:rsidRDefault="00431DE8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0E53" w:rsidRPr="00040E53" w:rsidRDefault="00040E53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>Observații:</w:t>
      </w:r>
    </w:p>
    <w:p w:rsidR="00040E53" w:rsidRDefault="00040E53" w:rsidP="00E678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Crește numărul de participanți la concursurile Comper, la ambele probe (Comunicare și Matematică) și la tote cele 3 etape (două etape județene și o etapă națională)</w:t>
      </w:r>
    </w:p>
    <w:p w:rsidR="00674DD7" w:rsidRPr="00674DD7" w:rsidRDefault="00674DD7" w:rsidP="00E678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remarcă eleva Șipoș Alexandra</w:t>
      </w:r>
      <w:r w:rsidR="00091F54">
        <w:rPr>
          <w:rFonts w:ascii="Times New Roman" w:hAnsi="Times New Roman" w:cs="Times New Roman"/>
          <w:sz w:val="24"/>
          <w:szCs w:val="24"/>
          <w:lang w:val="ro-RO"/>
        </w:rPr>
        <w:t xml:space="preserve"> (VIII 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concursurile lingvistice „</w:t>
      </w:r>
      <w:r>
        <w:rPr>
          <w:rFonts w:asciiTheme="majorBidi" w:hAnsiTheme="majorBidi" w:cstheme="majorBidi"/>
          <w:sz w:val="24"/>
          <w:szCs w:val="24"/>
          <w:lang w:val="ro-RO"/>
        </w:rPr>
        <w:t>Chants sons sur scene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” (locul I la etapa județeană și locul I la etapa națională), </w:t>
      </w:r>
      <w:r w:rsidRPr="00F40691">
        <w:rPr>
          <w:rFonts w:asciiTheme="majorBidi" w:hAnsiTheme="majorBidi" w:cstheme="majorBidi"/>
          <w:sz w:val="24"/>
          <w:szCs w:val="24"/>
        </w:rPr>
        <w:t xml:space="preserve">„De la </w:t>
      </w:r>
      <w:proofErr w:type="spellStart"/>
      <w:r w:rsidRPr="00F40691">
        <w:rPr>
          <w:rFonts w:asciiTheme="majorBidi" w:hAnsiTheme="majorBidi" w:cstheme="majorBidi"/>
          <w:sz w:val="24"/>
          <w:szCs w:val="24"/>
        </w:rPr>
        <w:t>musique</w:t>
      </w:r>
      <w:proofErr w:type="spellEnd"/>
      <w:r w:rsidRPr="00F406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0691">
        <w:rPr>
          <w:rFonts w:asciiTheme="majorBidi" w:hAnsiTheme="majorBidi" w:cstheme="majorBidi"/>
          <w:sz w:val="24"/>
          <w:szCs w:val="24"/>
        </w:rPr>
        <w:t>avant</w:t>
      </w:r>
      <w:proofErr w:type="spellEnd"/>
      <w:r w:rsidRPr="00F406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0691">
        <w:rPr>
          <w:rFonts w:asciiTheme="majorBidi" w:hAnsiTheme="majorBidi" w:cstheme="majorBidi"/>
          <w:sz w:val="24"/>
          <w:szCs w:val="24"/>
        </w:rPr>
        <w:t>toute</w:t>
      </w:r>
      <w:proofErr w:type="spellEnd"/>
      <w:r w:rsidRPr="00F40691">
        <w:rPr>
          <w:rFonts w:asciiTheme="majorBidi" w:hAnsiTheme="majorBidi" w:cstheme="majorBidi"/>
          <w:sz w:val="24"/>
          <w:szCs w:val="24"/>
        </w:rPr>
        <w:t xml:space="preserve"> chose”</w:t>
      </w:r>
    </w:p>
    <w:p w:rsidR="00674DD7" w:rsidRPr="00040E53" w:rsidRDefault="00674DD7" w:rsidP="00E678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>
        <w:rPr>
          <w:rFonts w:asciiTheme="majorBidi" w:hAnsiTheme="majorBidi" w:cstheme="majorBidi"/>
          <w:sz w:val="24"/>
          <w:szCs w:val="24"/>
        </w:rPr>
        <w:t>concursurile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matematică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remarcă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elevii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Frunză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Pocol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Alexandru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(V A)</w:t>
      </w:r>
      <w:r>
        <w:rPr>
          <w:rFonts w:asciiTheme="majorBidi" w:hAnsiTheme="majorBidi" w:cstheme="majorBidi"/>
          <w:sz w:val="24"/>
          <w:szCs w:val="24"/>
        </w:rPr>
        <w:t xml:space="preserve">, la </w:t>
      </w:r>
      <w:proofErr w:type="spellStart"/>
      <w:r>
        <w:rPr>
          <w:rFonts w:asciiTheme="majorBidi" w:hAnsiTheme="majorBidi" w:cstheme="majorBidi"/>
          <w:sz w:val="24"/>
          <w:szCs w:val="24"/>
        </w:rPr>
        <w:t>gimnaziu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Dolha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Mateo</w:t>
      </w:r>
      <w:r w:rsidR="00091F54">
        <w:rPr>
          <w:rFonts w:asciiTheme="majorBidi" w:hAnsiTheme="majorBidi" w:cstheme="majorBidi"/>
          <w:sz w:val="24"/>
          <w:szCs w:val="24"/>
        </w:rPr>
        <w:t xml:space="preserve"> (II A)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locul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la </w:t>
      </w:r>
      <w:proofErr w:type="spellStart"/>
      <w:r>
        <w:rPr>
          <w:rFonts w:asciiTheme="majorBidi" w:hAnsiTheme="majorBidi" w:cstheme="majorBidi"/>
          <w:sz w:val="24"/>
          <w:szCs w:val="24"/>
        </w:rPr>
        <w:t>toate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etapele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județene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Comper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Comunicare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Matematică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locul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II la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concursul</w:t>
      </w:r>
      <w:proofErr w:type="spellEnd"/>
      <w:r w:rsidR="00091F54">
        <w:rPr>
          <w:rFonts w:asciiTheme="majorBidi" w:hAnsiTheme="majorBidi" w:cstheme="majorBidi"/>
          <w:sz w:val="24"/>
          <w:szCs w:val="24"/>
        </w:rPr>
        <w:t xml:space="preserve"> national </w:t>
      </w:r>
      <w:proofErr w:type="spellStart"/>
      <w:r w:rsidR="00091F54">
        <w:rPr>
          <w:rFonts w:asciiTheme="majorBidi" w:hAnsiTheme="majorBidi" w:cstheme="majorBidi"/>
          <w:sz w:val="24"/>
          <w:szCs w:val="24"/>
        </w:rPr>
        <w:t>LuminaMath</w:t>
      </w:r>
      <w:proofErr w:type="spellEnd"/>
    </w:p>
    <w:p w:rsidR="00040E53" w:rsidRPr="00040E53" w:rsidRDefault="00040E53" w:rsidP="00E678E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representative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:</w:t>
      </w:r>
    </w:p>
    <w:p w:rsidR="00431DE8" w:rsidRDefault="00431DE8" w:rsidP="00E678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1DE8">
        <w:rPr>
          <w:rFonts w:ascii="Times New Roman" w:hAnsi="Times New Roman" w:cs="Times New Roman"/>
          <w:sz w:val="24"/>
          <w:szCs w:val="24"/>
          <w:lang w:val="ro-RO"/>
        </w:rPr>
        <w:t>Concursuri județene și interjudețene cu tematică religioasă – icoane pe sticlă, obiceiuri de iarnă, cultură și educație religioasă – „Icoana Sf. Andrei, prilej de întâlnire”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„Cuvântul– Bucuria sufletului, lumina minții”</w:t>
      </w:r>
    </w:p>
    <w:p w:rsidR="00431DE8" w:rsidRDefault="00431DE8" w:rsidP="00E678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Clasele primare participă la concursurile Minimath (interjudețean) – 40 premii și Comper, etapa județeană II (Comunicare – 70 premii, Matematică – 59 premii)</w:t>
      </w:r>
    </w:p>
    <w:p w:rsidR="00431DE8" w:rsidRDefault="00674DD7" w:rsidP="00E678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31DE8">
        <w:rPr>
          <w:rFonts w:ascii="Times New Roman" w:hAnsi="Times New Roman" w:cs="Times New Roman"/>
          <w:sz w:val="24"/>
          <w:szCs w:val="24"/>
          <w:lang w:val="ro-RO"/>
        </w:rPr>
        <w:t>rește numărul participanților și a premianților la concursurile Minimath (interjudețean) – 85 premii, precum și la Comper Comunicare (275 premii la etapele județene I și 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8 premii la etapa națională) și Comper Matematică (171 premii)</w:t>
      </w:r>
    </w:p>
    <w:p w:rsidR="00674DD7" w:rsidRPr="00863E08" w:rsidRDefault="00674DD7" w:rsidP="00E678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Concursul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Național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„Made for Europe” – </w:t>
      </w:r>
      <w:proofErr w:type="spellStart"/>
      <w:r>
        <w:rPr>
          <w:rFonts w:asciiTheme="majorBidi" w:hAnsiTheme="majorBidi" w:cstheme="majorBidi"/>
          <w:sz w:val="24"/>
          <w:szCs w:val="24"/>
        </w:rPr>
        <w:t>faza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județeană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locul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</w:p>
    <w:p w:rsidR="00863E08" w:rsidRDefault="00863E08" w:rsidP="0086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E08" w:rsidRDefault="00863E08" w:rsidP="0086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E08" w:rsidRDefault="00863E08" w:rsidP="0086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E08" w:rsidRDefault="00863E08" w:rsidP="0086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3E08" w:rsidRPr="00863E08" w:rsidRDefault="00863E08" w:rsidP="0086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F54" w:rsidRDefault="00091F54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bookmarkEnd w:id="0"/>
    </w:p>
    <w:p w:rsidR="00091F54" w:rsidRPr="00863E08" w:rsidRDefault="00E678E6" w:rsidP="00E678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660066"/>
          <w:sz w:val="24"/>
          <w:szCs w:val="24"/>
          <w:u w:val="single"/>
          <w:lang w:val="ro-RO"/>
        </w:rPr>
      </w:pPr>
      <w:r w:rsidRPr="00863E08">
        <w:rPr>
          <w:rFonts w:ascii="Times New Roman" w:hAnsi="Times New Roman" w:cs="Times New Roman"/>
          <w:color w:val="660066"/>
          <w:sz w:val="24"/>
          <w:szCs w:val="24"/>
          <w:u w:val="single"/>
          <w:lang w:val="ro-RO"/>
        </w:rPr>
        <w:lastRenderedPageBreak/>
        <w:t xml:space="preserve">ANUL ȘCOLAR 2017 – 2018 – </w:t>
      </w:r>
      <w:r w:rsidRPr="00863E08">
        <w:rPr>
          <w:rFonts w:ascii="Times New Roman" w:hAnsi="Times New Roman" w:cs="Times New Roman"/>
          <w:b/>
          <w:color w:val="660066"/>
          <w:sz w:val="24"/>
          <w:szCs w:val="24"/>
          <w:u w:val="single"/>
          <w:lang w:val="ro-RO"/>
        </w:rPr>
        <w:t>747 PREMII, DIN CARE:</w:t>
      </w:r>
    </w:p>
    <w:p w:rsidR="00E678E6" w:rsidRPr="00B71D04" w:rsidRDefault="00E678E6" w:rsidP="00E678E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91F54" w:rsidRDefault="00091F54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71D04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B71D04">
        <w:rPr>
          <w:rFonts w:ascii="Times New Roman" w:hAnsi="Times New Roman" w:cs="Times New Roman"/>
          <w:sz w:val="24"/>
          <w:szCs w:val="24"/>
          <w:lang w:val="ro-RO"/>
        </w:rPr>
        <w:t xml:space="preserve">ivel – local – </w:t>
      </w:r>
      <w:r>
        <w:rPr>
          <w:rFonts w:ascii="Times New Roman" w:hAnsi="Times New Roman" w:cs="Times New Roman"/>
          <w:sz w:val="24"/>
          <w:szCs w:val="24"/>
          <w:lang w:val="ro-RO"/>
        </w:rPr>
        <w:t>61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091F54" w:rsidRPr="00695A1F" w:rsidRDefault="00091F54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județean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571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091F54" w:rsidRDefault="00091F54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interjudețean</w:t>
      </w:r>
      <w:r>
        <w:rPr>
          <w:rFonts w:ascii="Times New Roman" w:hAnsi="Times New Roman" w:cs="Times New Roman"/>
          <w:sz w:val="24"/>
          <w:szCs w:val="24"/>
          <w:lang w:val="ro-RO"/>
        </w:rPr>
        <w:t>/regional – 87 premii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91F54" w:rsidRDefault="00091F54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5A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695A1F">
        <w:rPr>
          <w:rFonts w:ascii="Times New Roman" w:hAnsi="Times New Roman" w:cs="Times New Roman"/>
          <w:sz w:val="24"/>
          <w:szCs w:val="24"/>
          <w:lang w:val="ro-RO"/>
        </w:rPr>
        <w:t>național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>17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peremii </w:t>
      </w:r>
    </w:p>
    <w:p w:rsidR="00091F54" w:rsidRDefault="00091F54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internațional – 1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premii</w:t>
      </w:r>
    </w:p>
    <w:p w:rsidR="00091F54" w:rsidRDefault="00091F54" w:rsidP="00E67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78E6" w:rsidRDefault="00E678E6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78E6" w:rsidRDefault="00E678E6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1F54" w:rsidRDefault="00091F54" w:rsidP="00E6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1F54">
        <w:rPr>
          <w:rFonts w:ascii="Times New Roman" w:hAnsi="Times New Roman" w:cs="Times New Roman"/>
          <w:b/>
          <w:sz w:val="24"/>
          <w:szCs w:val="24"/>
          <w:lang w:val="ro-RO"/>
        </w:rPr>
        <w:t>Observații:</w:t>
      </w:r>
    </w:p>
    <w:p w:rsidR="00091F54" w:rsidRPr="00040E53" w:rsidRDefault="00091F54" w:rsidP="00E678E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 xml:space="preserve">Se </w:t>
      </w:r>
      <w:proofErr w:type="spellStart"/>
      <w:r>
        <w:rPr>
          <w:rFonts w:asciiTheme="majorBidi" w:hAnsiTheme="majorBidi" w:cstheme="majorBidi"/>
          <w:sz w:val="24"/>
          <w:szCs w:val="24"/>
        </w:rPr>
        <w:t>remarcă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elevii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Dolha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Mateo </w:t>
      </w:r>
      <w:proofErr w:type="spellStart"/>
      <w:r>
        <w:rPr>
          <w:rFonts w:asciiTheme="majorBidi" w:hAnsiTheme="majorBidi" w:cstheme="majorBidi"/>
          <w:sz w:val="24"/>
          <w:szCs w:val="24"/>
        </w:rPr>
        <w:t>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Mărginean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Sorina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clasa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III A), </w:t>
      </w:r>
      <w:proofErr w:type="spellStart"/>
      <w:r>
        <w:rPr>
          <w:rFonts w:asciiTheme="majorBidi" w:hAnsiTheme="majorBidi" w:cstheme="majorBidi"/>
          <w:sz w:val="24"/>
          <w:szCs w:val="24"/>
        </w:rPr>
        <w:t>ambii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>
        <w:rPr>
          <w:rFonts w:asciiTheme="majorBidi" w:hAnsiTheme="majorBidi" w:cstheme="majorBidi"/>
          <w:sz w:val="24"/>
          <w:szCs w:val="24"/>
        </w:rPr>
        <w:t>punctaje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maxime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(100 </w:t>
      </w:r>
      <w:proofErr w:type="spellStart"/>
      <w:r>
        <w:rPr>
          <w:rFonts w:asciiTheme="majorBidi" w:hAnsiTheme="majorBidi" w:cstheme="majorBidi"/>
          <w:sz w:val="24"/>
          <w:szCs w:val="24"/>
        </w:rPr>
        <w:t>puncte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la </w:t>
      </w:r>
      <w:proofErr w:type="spellStart"/>
      <w:r>
        <w:rPr>
          <w:rFonts w:asciiTheme="majorBidi" w:hAnsiTheme="majorBidi" w:cstheme="majorBidi"/>
          <w:sz w:val="24"/>
          <w:szCs w:val="24"/>
        </w:rPr>
        <w:t>toate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8E6">
        <w:rPr>
          <w:rFonts w:asciiTheme="majorBidi" w:hAnsiTheme="majorBidi" w:cstheme="majorBidi"/>
          <w:sz w:val="24"/>
          <w:szCs w:val="24"/>
        </w:rPr>
        <w:t>cele</w:t>
      </w:r>
      <w:proofErr w:type="spellEnd"/>
      <w:r w:rsidR="00E678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8E6">
        <w:rPr>
          <w:rFonts w:asciiTheme="majorBidi" w:hAnsiTheme="majorBidi" w:cstheme="majorBidi"/>
          <w:sz w:val="24"/>
          <w:szCs w:val="24"/>
        </w:rPr>
        <w:t>două</w:t>
      </w:r>
      <w:proofErr w:type="spellEnd"/>
      <w:r w:rsidR="00E678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8E6">
        <w:rPr>
          <w:rFonts w:asciiTheme="majorBidi" w:hAnsiTheme="majorBidi" w:cstheme="majorBidi"/>
          <w:sz w:val="24"/>
          <w:szCs w:val="24"/>
        </w:rPr>
        <w:t>etape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județene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și</w:t>
      </w:r>
      <w:proofErr w:type="spellEnd"/>
      <w:r w:rsidR="00E678E6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E678E6">
        <w:rPr>
          <w:rFonts w:asciiTheme="majorBidi" w:hAnsiTheme="majorBidi" w:cstheme="majorBidi"/>
          <w:sz w:val="24"/>
          <w:szCs w:val="24"/>
        </w:rPr>
        <w:t>etapa</w:t>
      </w:r>
      <w:proofErr w:type="spellEnd"/>
      <w:r w:rsidR="00E678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678E6">
        <w:rPr>
          <w:rFonts w:asciiTheme="majorBidi" w:hAnsiTheme="majorBidi" w:cstheme="majorBidi"/>
          <w:sz w:val="24"/>
          <w:szCs w:val="24"/>
        </w:rPr>
        <w:t>națională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ale </w:t>
      </w:r>
      <w:proofErr w:type="spellStart"/>
      <w:r>
        <w:rPr>
          <w:rFonts w:asciiTheme="majorBidi" w:hAnsiTheme="majorBidi" w:cstheme="majorBidi"/>
          <w:sz w:val="24"/>
          <w:szCs w:val="24"/>
        </w:rPr>
        <w:t>concursurilor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Comper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Minimath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91F54" w:rsidRDefault="002F04F2" w:rsidP="00E678E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04F2">
        <w:rPr>
          <w:rFonts w:ascii="Times New Roman" w:hAnsi="Times New Roman" w:cs="Times New Roman"/>
          <w:sz w:val="24"/>
          <w:szCs w:val="24"/>
          <w:lang w:val="ro-RO"/>
        </w:rPr>
        <w:t>Din nou pe podium</w:t>
      </w:r>
      <w:r>
        <w:rPr>
          <w:rFonts w:ascii="Times New Roman" w:hAnsi="Times New Roman" w:cs="Times New Roman"/>
          <w:sz w:val="24"/>
          <w:szCs w:val="24"/>
          <w:lang w:val="ro-RO"/>
        </w:rPr>
        <w:t>, elevii Frunză Mihai (la concursurile județene și interjudețene de matematică) și Frunză Teodora</w:t>
      </w:r>
      <w:r w:rsidR="00E678E6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ro-RO"/>
        </w:rPr>
        <w:t>a concursurile de creație, tematică religioasă și la cele cu tematică ecologică – Să păstrăm un mediu sănătos, secțiunea gimnaziu</w:t>
      </w:r>
    </w:p>
    <w:p w:rsidR="002F04F2" w:rsidRPr="00040E53" w:rsidRDefault="002F04F2" w:rsidP="00E678E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representative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40E5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40E53">
        <w:rPr>
          <w:rFonts w:ascii="Times New Roman" w:hAnsi="Times New Roman" w:cs="Times New Roman"/>
          <w:sz w:val="24"/>
          <w:szCs w:val="24"/>
        </w:rPr>
        <w:t>:</w:t>
      </w:r>
    </w:p>
    <w:p w:rsidR="002F04F2" w:rsidRDefault="002F04F2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Luna reciclării – reciclăm împreună (cu fundația RYLex) premiul cel mare – 1000 euro</w:t>
      </w:r>
    </w:p>
    <w:p w:rsidR="002F04F2" w:rsidRDefault="002F04F2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Concursurile Comper Comunicare (județean – 330 premii, național 8 premii)</w:t>
      </w:r>
    </w:p>
    <w:p w:rsidR="002F04F2" w:rsidRDefault="002F04F2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Concursurile Comper matematică (județean – 232 premii, național </w:t>
      </w:r>
      <w:r w:rsidR="00E678E6">
        <w:rPr>
          <w:rFonts w:ascii="Times New Roman" w:hAnsi="Times New Roman" w:cs="Times New Roman"/>
          <w:sz w:val="24"/>
          <w:szCs w:val="24"/>
          <w:lang w:val="ro-RO"/>
        </w:rPr>
        <w:t>3 premii)</w:t>
      </w:r>
    </w:p>
    <w:p w:rsid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Concursul interjudețean Minimath – 51 premii </w:t>
      </w:r>
    </w:p>
    <w:p w:rsid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1DE8">
        <w:rPr>
          <w:rFonts w:ascii="Times New Roman" w:hAnsi="Times New Roman" w:cs="Times New Roman"/>
          <w:sz w:val="24"/>
          <w:szCs w:val="24"/>
          <w:lang w:val="ro-RO"/>
        </w:rPr>
        <w:t>Concursuri județene și interjudețene cu tematică religioasă – icoane pe sticlă, obiceiuri de iarnă, cultură și educație religioasă – „Icoana Sf. Andrei, prilej de întâlnire”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„Cuvântul– Bucuria sufletului, lumina minții”</w:t>
      </w:r>
      <w:r>
        <w:rPr>
          <w:rFonts w:ascii="Times New Roman" w:hAnsi="Times New Roman" w:cs="Times New Roman"/>
          <w:sz w:val="24"/>
          <w:szCs w:val="24"/>
          <w:lang w:val="ro-RO"/>
        </w:rPr>
        <w:t>, „Omul și sacrul”</w:t>
      </w:r>
    </w:p>
    <w:p w:rsid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Festivalul cultural „Miraje”, secțiunile muzică, respectiv dans</w:t>
      </w:r>
    </w:p>
    <w:p w:rsidR="00E678E6" w:rsidRP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Concursuri </w:t>
      </w:r>
      <w:r>
        <w:rPr>
          <w:rFonts w:asciiTheme="majorBidi" w:hAnsiTheme="majorBidi" w:cstheme="majorBidi"/>
          <w:sz w:val="24"/>
          <w:szCs w:val="24"/>
          <w:lang w:val="ro-RO"/>
        </w:rPr>
        <w:t>de ecologie și protecția mediului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„Pământ, suflet și culoare” și „</w:t>
      </w:r>
      <w:r>
        <w:rPr>
          <w:rFonts w:asciiTheme="majorBidi" w:hAnsiTheme="majorBidi" w:cstheme="majorBidi"/>
          <w:sz w:val="24"/>
          <w:szCs w:val="24"/>
          <w:lang w:val="ro-RO"/>
        </w:rPr>
        <w:t>Să păstrăm un mediu sănătos – secțiunea gimnaziu</w:t>
      </w:r>
      <w:r>
        <w:rPr>
          <w:rFonts w:asciiTheme="majorBidi" w:hAnsiTheme="majorBidi" w:cstheme="majorBidi"/>
          <w:sz w:val="24"/>
          <w:szCs w:val="24"/>
          <w:lang w:val="ro-RO"/>
        </w:rPr>
        <w:t>”</w:t>
      </w:r>
    </w:p>
    <w:p w:rsidR="00E678E6" w:rsidRP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Stop Bullyingului – Spune Nu intimidării</w:t>
      </w:r>
    </w:p>
    <w:p w:rsidR="00E678E6" w:rsidRDefault="00E678E6" w:rsidP="00E678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Concursul Internațiomal „Formidabilii”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091F54" w:rsidRDefault="00091F54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B1B" w:rsidRDefault="00B80B1B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B1B" w:rsidRDefault="00B80B1B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B1B" w:rsidRDefault="00B80B1B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80B1B" w:rsidRDefault="00B80B1B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1548"/>
        <w:gridCol w:w="742"/>
        <w:gridCol w:w="743"/>
        <w:gridCol w:w="742"/>
        <w:gridCol w:w="743"/>
      </w:tblGrid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Nivel/An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2014-</w:t>
            </w:r>
          </w:p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2015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2015-</w:t>
            </w:r>
          </w:p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2016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2016-</w:t>
            </w:r>
          </w:p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2017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2017-</w:t>
            </w:r>
          </w:p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2018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Local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116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41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86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61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Județean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11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150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465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571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Intejud/Regio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20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51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87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87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Național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12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12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21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17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Internațional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-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2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1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11</w:t>
            </w:r>
          </w:p>
        </w:tc>
      </w:tr>
      <w:tr w:rsidR="00863E08" w:rsidRPr="00707E27" w:rsidTr="00863E08">
        <w:tc>
          <w:tcPr>
            <w:tcW w:w="1548" w:type="dxa"/>
          </w:tcPr>
          <w:p w:rsidR="00863E08" w:rsidRPr="00707E27" w:rsidRDefault="00863E08" w:rsidP="00863E08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lang w:val="ro-RO"/>
              </w:rPr>
              <w:t>Total/An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2060"/>
                <w:lang w:val="ro-RO"/>
              </w:rPr>
              <w:t>159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C00000"/>
                <w:lang w:val="ro-RO"/>
              </w:rPr>
              <w:t>256</w:t>
            </w:r>
          </w:p>
        </w:tc>
        <w:tc>
          <w:tcPr>
            <w:tcW w:w="742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006600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006600"/>
                <w:lang w:val="ro-RO"/>
              </w:rPr>
              <w:t>660</w:t>
            </w:r>
          </w:p>
        </w:tc>
        <w:tc>
          <w:tcPr>
            <w:tcW w:w="743" w:type="dxa"/>
          </w:tcPr>
          <w:p w:rsidR="00863E08" w:rsidRPr="00707E27" w:rsidRDefault="00863E08" w:rsidP="00863E08">
            <w:pPr>
              <w:jc w:val="center"/>
              <w:rPr>
                <w:rFonts w:ascii="Times New Roman" w:hAnsi="Times New Roman" w:cs="Times New Roman"/>
                <w:b/>
                <w:color w:val="660066"/>
                <w:lang w:val="ro-RO"/>
              </w:rPr>
            </w:pPr>
            <w:r w:rsidRPr="00707E27">
              <w:rPr>
                <w:rFonts w:ascii="Times New Roman" w:hAnsi="Times New Roman" w:cs="Times New Roman"/>
                <w:b/>
                <w:color w:val="660066"/>
                <w:lang w:val="ro-RO"/>
              </w:rPr>
              <w:t>747</w:t>
            </w:r>
          </w:p>
        </w:tc>
      </w:tr>
    </w:tbl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D63728" w:rsidSect="00E8733C">
          <w:pgSz w:w="12240" w:h="15840"/>
          <w:pgMar w:top="1080" w:right="1440" w:bottom="990" w:left="1440" w:header="720" w:footer="720" w:gutter="0"/>
          <w:cols w:space="720"/>
          <w:docGrid w:linePitch="360"/>
        </w:sectPr>
      </w:pPr>
    </w:p>
    <w:p w:rsidR="00D63728" w:rsidRDefault="00D63728" w:rsidP="00E6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91F54" w:rsidRDefault="00B80B1B" w:rsidP="00B8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D47DEE" wp14:editId="32EFD805">
            <wp:extent cx="5924550" cy="68008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3728" w:rsidRDefault="00D63728" w:rsidP="00D7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Pr="00D63728" w:rsidRDefault="00D63728" w:rsidP="00D6372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63728" w:rsidRDefault="00D63728" w:rsidP="00D6372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678E6" w:rsidRPr="00D63728" w:rsidRDefault="00D63728" w:rsidP="00D63728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E678E6" w:rsidRPr="00D63728" w:rsidSect="00B80B1B">
      <w:pgSz w:w="12240" w:h="15840"/>
      <w:pgMar w:top="108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AD"/>
    <w:multiLevelType w:val="hybridMultilevel"/>
    <w:tmpl w:val="5078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895"/>
    <w:multiLevelType w:val="hybridMultilevel"/>
    <w:tmpl w:val="082AB600"/>
    <w:lvl w:ilvl="0" w:tplc="878C7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2DD"/>
    <w:multiLevelType w:val="hybridMultilevel"/>
    <w:tmpl w:val="77A6BA98"/>
    <w:lvl w:ilvl="0" w:tplc="B5DAFB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A43"/>
    <w:multiLevelType w:val="hybridMultilevel"/>
    <w:tmpl w:val="6AA821A4"/>
    <w:lvl w:ilvl="0" w:tplc="618242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5DDC"/>
    <w:multiLevelType w:val="hybridMultilevel"/>
    <w:tmpl w:val="F7D8B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C2F4E"/>
    <w:multiLevelType w:val="hybridMultilevel"/>
    <w:tmpl w:val="F98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CF1"/>
    <w:multiLevelType w:val="hybridMultilevel"/>
    <w:tmpl w:val="9918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4C21"/>
    <w:multiLevelType w:val="hybridMultilevel"/>
    <w:tmpl w:val="4546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203"/>
    <w:multiLevelType w:val="hybridMultilevel"/>
    <w:tmpl w:val="8F180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16F65"/>
    <w:multiLevelType w:val="hybridMultilevel"/>
    <w:tmpl w:val="7308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F6F2E"/>
    <w:multiLevelType w:val="hybridMultilevel"/>
    <w:tmpl w:val="E93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3D67"/>
    <w:multiLevelType w:val="hybridMultilevel"/>
    <w:tmpl w:val="D10E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A3772"/>
    <w:multiLevelType w:val="hybridMultilevel"/>
    <w:tmpl w:val="9B10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C268F"/>
    <w:multiLevelType w:val="hybridMultilevel"/>
    <w:tmpl w:val="7F2C2F54"/>
    <w:lvl w:ilvl="0" w:tplc="97F641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66"/>
    <w:rsid w:val="00040E53"/>
    <w:rsid w:val="00091F54"/>
    <w:rsid w:val="002F04F2"/>
    <w:rsid w:val="00431DE8"/>
    <w:rsid w:val="00674DD7"/>
    <w:rsid w:val="00695A1F"/>
    <w:rsid w:val="006A7C89"/>
    <w:rsid w:val="00707E27"/>
    <w:rsid w:val="007548A9"/>
    <w:rsid w:val="00863E08"/>
    <w:rsid w:val="00A05C33"/>
    <w:rsid w:val="00A33D66"/>
    <w:rsid w:val="00B71D04"/>
    <w:rsid w:val="00B80B1B"/>
    <w:rsid w:val="00D63728"/>
    <w:rsid w:val="00D73C7A"/>
    <w:rsid w:val="00E6011D"/>
    <w:rsid w:val="00E678E6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Local </c:v>
                </c:pt>
                <c:pt idx="1">
                  <c:v>Județean</c:v>
                </c:pt>
                <c:pt idx="2">
                  <c:v>Interjud/Reg</c:v>
                </c:pt>
                <c:pt idx="3">
                  <c:v>Național</c:v>
                </c:pt>
                <c:pt idx="4">
                  <c:v>Internațional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116</c:v>
                </c:pt>
                <c:pt idx="1">
                  <c:v>11</c:v>
                </c:pt>
                <c:pt idx="2">
                  <c:v>20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Local </c:v>
                </c:pt>
                <c:pt idx="1">
                  <c:v>Județean</c:v>
                </c:pt>
                <c:pt idx="2">
                  <c:v>Interjud/Reg</c:v>
                </c:pt>
                <c:pt idx="3">
                  <c:v>Național</c:v>
                </c:pt>
                <c:pt idx="4">
                  <c:v>Internațional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</c:v>
                </c:pt>
                <c:pt idx="1">
                  <c:v>150</c:v>
                </c:pt>
                <c:pt idx="2">
                  <c:v>51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Local </c:v>
                </c:pt>
                <c:pt idx="1">
                  <c:v>Județean</c:v>
                </c:pt>
                <c:pt idx="2">
                  <c:v>Interjud/Reg</c:v>
                </c:pt>
                <c:pt idx="3">
                  <c:v>Național</c:v>
                </c:pt>
                <c:pt idx="4">
                  <c:v>Internațional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86</c:v>
                </c:pt>
                <c:pt idx="1">
                  <c:v>465</c:v>
                </c:pt>
                <c:pt idx="2">
                  <c:v>87</c:v>
                </c:pt>
                <c:pt idx="3">
                  <c:v>21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Local </c:v>
                </c:pt>
                <c:pt idx="1">
                  <c:v>Județean</c:v>
                </c:pt>
                <c:pt idx="2">
                  <c:v>Interjud/Reg</c:v>
                </c:pt>
                <c:pt idx="3">
                  <c:v>Național</c:v>
                </c:pt>
                <c:pt idx="4">
                  <c:v>Internațional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61</c:v>
                </c:pt>
                <c:pt idx="1">
                  <c:v>571</c:v>
                </c:pt>
                <c:pt idx="2">
                  <c:v>87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98036224"/>
        <c:axId val="298042112"/>
        <c:axId val="0"/>
      </c:bar3DChart>
      <c:catAx>
        <c:axId val="29803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98042112"/>
        <c:crosses val="autoZero"/>
        <c:auto val="1"/>
        <c:lblAlgn val="ctr"/>
        <c:lblOffset val="100"/>
        <c:noMultiLvlLbl val="0"/>
      </c:catAx>
      <c:valAx>
        <c:axId val="29804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9803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A0C-489F-42B3-A56F-1B785A7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2018-09-27T14:52:00Z</dcterms:created>
  <dcterms:modified xsi:type="dcterms:W3CDTF">2018-09-27T19:01:00Z</dcterms:modified>
</cp:coreProperties>
</file>